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Instrumento de Avaliação do Projeto Político-Pedagógico (PPP)</w:t>
      </w:r>
    </w:p>
    <w:tbl>
      <w:tblPr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rPr>
                <w:b/>
                <w:color w:val="50C878"/>
                <w:sz w:val="21"/>
              </w:rPr>
              <w:t>Critério de Avaliação</w:t>
            </w:r>
          </w:p>
        </w:tc>
        <w:tc>
          <w:tcPr>
            <w:tcW w:type="dxa" w:w="2160"/>
          </w:tcPr>
          <w:p>
            <w:r>
              <w:rPr>
                <w:b/>
                <w:color w:val="50C878"/>
                <w:sz w:val="21"/>
              </w:rPr>
              <w:t>Indicadores</w:t>
            </w:r>
          </w:p>
        </w:tc>
        <w:tc>
          <w:tcPr>
            <w:tcW w:type="dxa" w:w="2160"/>
          </w:tcPr>
          <w:p>
            <w:r>
              <w:rPr>
                <w:b/>
                <w:color w:val="50C878"/>
                <w:sz w:val="21"/>
              </w:rPr>
              <w:t>Avaliação (Sim / Parcial / Não)</w:t>
            </w:r>
          </w:p>
        </w:tc>
        <w:tc>
          <w:tcPr>
            <w:tcW w:type="dxa" w:w="2160"/>
          </w:tcPr>
          <w:p>
            <w:r>
              <w:rPr>
                <w:b/>
                <w:color w:val="50C878"/>
                <w:sz w:val="21"/>
              </w:rPr>
              <w:t>Observações / Evidências</w:t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Participação da comunidade escolar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Pais, alunos e professores participaram da elaboração?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Clareza da identidade da escola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Missão, visão e valores estão bem definidos?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Coerência com a realidade local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PPP considera o contexto sociocultural da comunidade?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Alinhamento às diretrizes curriculares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Está em conformidade com a BNCC e o PME?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Estratégias metodológicas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Metodologias ativas, inclusivas e inovadoras são propostas?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Propostas de avaliação da aprendizagem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Há diretrizes claras e coerentes de avaliação?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Inclusão e diversidade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Há diretrizes de inclusão e respeito à diversidade?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Gestão democrática e participativa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O PPP prevê mecanismos de participação ativa?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Plano de ação e metas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Metas estão bem definidas e são mensuráveis?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  <w:tr>
        <w:tc>
          <w:tcPr>
            <w:tcW w:type="dxa" w:w="2160"/>
          </w:tcPr>
          <w:p>
            <w:r>
              <w:rPr>
                <w:sz w:val="21"/>
              </w:rPr>
              <w:t>Monitoramento e avaliação contínua do PPP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  <w:t>Existe um sistema de acompanhamento e revisão periódica?</w:t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  <w:tc>
          <w:tcPr>
            <w:tcW w:type="dxa" w:w="2160"/>
          </w:tcPr>
          <w:p>
            <w:r>
              <w:rPr>
                <w:sz w:val="21"/>
              </w:rPr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